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2F" w:rsidRPr="002E7E2F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</w:pPr>
      <w:r w:rsidRPr="002E7E2F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Объявляется </w:t>
      </w:r>
      <w:r w:rsidRPr="002E7E2F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конкурсный отбор среди орга</w:t>
      </w:r>
      <w:r w:rsidR="00D743A5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низаций Партизанского района г</w:t>
      </w:r>
      <w:proofErr w:type="gramStart"/>
      <w:r w:rsidR="00D743A5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.</w:t>
      </w:r>
      <w:r w:rsidRPr="002E7E2F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М</w:t>
      </w:r>
      <w:proofErr w:type="gramEnd"/>
      <w:r w:rsidRPr="002E7E2F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инска по определению лучших кандидатур для выдвижения в претенденты на занесение на Республиканскую доску Почета.</w:t>
      </w:r>
    </w:p>
    <w:p w:rsidR="00A27AB7" w:rsidRDefault="00A27AB7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E7E2F" w:rsidRPr="006B12CB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412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Заявки </w:t>
      </w:r>
      <w:r w:rsidRPr="003547F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принимаются</w:t>
      </w:r>
      <w:r w:rsidRPr="003547F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 1</w:t>
      </w:r>
      <w:r w:rsidR="00857B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3</w:t>
      </w:r>
      <w:r w:rsidR="00D236E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января по 7</w:t>
      </w:r>
      <w:r w:rsidRPr="003547F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февраля</w:t>
      </w:r>
      <w:r w:rsidRPr="002D16D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2</w:t>
      </w:r>
      <w:r w:rsidRPr="006B12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0</w:t>
      </w:r>
      <w:r w:rsidR="00D236E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25</w:t>
      </w:r>
      <w:r w:rsidRPr="006B12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6B12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включительно.</w:t>
      </w:r>
    </w:p>
    <w:p w:rsidR="00D46704" w:rsidRDefault="002E7E2F" w:rsidP="002E7E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12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Организации, желающие принять участие в конкурсе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</w:t>
      </w:r>
      <w:r w:rsidRPr="00C4412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могут обращаться </w:t>
      </w:r>
      <w:r w:rsidRPr="00A27AB7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в администрацию Партизанского района г.</w:t>
      </w:r>
      <w:r w:rsidR="00A27AB7" w:rsidRPr="00A27AB7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 </w:t>
      </w:r>
      <w:r w:rsidRPr="00A27AB7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Минска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по адресу: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 Захарова, 53;</w:t>
      </w:r>
      <w:r w:rsidRPr="002E7E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46704" w:rsidRPr="00D46704" w:rsidRDefault="00D46704" w:rsidP="00D46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7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Контактные лица: </w:t>
      </w:r>
    </w:p>
    <w:p w:rsidR="002E7E2F" w:rsidRDefault="005D67D0" w:rsidP="002E7E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отдела экономики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Глинистая Инга Валерьевна, тел.: </w:t>
      </w:r>
      <w:r w:rsidR="002E7E2F"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373-85-47;</w:t>
      </w:r>
      <w:r w:rsidR="002E7E2F" w:rsidRPr="002E7E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7E2F"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электронная почта</w:t>
      </w:r>
      <w:r w:rsidR="00A27AB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2E7E2F"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7" w:history="1">
        <w:r w:rsidR="002E7E2F" w:rsidRPr="009B4B41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part.econ@minsk.gov.by</w:t>
        </w:r>
      </w:hyperlink>
      <w:r w:rsidR="00D4670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46704" w:rsidRPr="00D46704" w:rsidRDefault="00D46704" w:rsidP="002E7E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специалист юридического отдела Груздь Елена Казимировна, тел.: 352 07 15, электронная почта: part.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opir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@minsk.gov.by</w:t>
      </w:r>
      <w:r w:rsidR="00F60FC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</w:p>
    <w:p w:rsidR="002E7E2F" w:rsidRPr="000057EA" w:rsidRDefault="002E7E2F" w:rsidP="00A27AB7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Организация и проведение конкурса</w:t>
      </w:r>
    </w:p>
    <w:p w:rsidR="00A27AB7" w:rsidRPr="00561BD8" w:rsidRDefault="002E7E2F" w:rsidP="00A27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Организация и проведение конкурса осуществляется Мин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ским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горисполкомом совместно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администрациями районов г.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Минска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27A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ab/>
      </w:r>
    </w:p>
    <w:p w:rsidR="002E7E2F" w:rsidRPr="000057EA" w:rsidRDefault="002E7E2F" w:rsidP="00A27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Правовые основания проведения конкурса</w:t>
      </w:r>
    </w:p>
    <w:p w:rsidR="002E7E2F" w:rsidRPr="006A5638" w:rsidRDefault="002E7E2F" w:rsidP="002E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Конкурс проводится в порядке и на условиях определенных:</w:t>
      </w:r>
    </w:p>
    <w:p w:rsidR="002E7E2F" w:rsidRPr="00A27AB7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27AB7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30 сентября 1999 г. № 573 «О Республиканской доске Почета»;</w:t>
      </w:r>
    </w:p>
    <w:p w:rsidR="002E7E2F" w:rsidRPr="00A27AB7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27AB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инструкциями о порядке отбора претендентов на занесение на Республиканскую доску Почета, разработанными республиканскими органами государственного управления, ответственными за определение претендентов, по соответствующим номинациям</w:t>
      </w:r>
      <w:r w:rsidRPr="00A27A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E7E2F" w:rsidRPr="00561BD8" w:rsidRDefault="002E7E2F" w:rsidP="002E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E2F" w:rsidRPr="000057EA" w:rsidRDefault="002E7E2F" w:rsidP="00A2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Требования к участникам конкурса</w:t>
      </w:r>
    </w:p>
    <w:p w:rsidR="002E7E2F" w:rsidRDefault="002E7E2F" w:rsidP="002E7E2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234364">
        <w:rPr>
          <w:rFonts w:ascii="Times New Roman" w:hAnsi="Times New Roman" w:cs="Times New Roman"/>
          <w:sz w:val="30"/>
          <w:szCs w:val="30"/>
        </w:rPr>
        <w:t>могут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4364">
        <w:rPr>
          <w:rFonts w:ascii="Times New Roman" w:hAnsi="Times New Roman" w:cs="Times New Roman"/>
          <w:sz w:val="30"/>
          <w:szCs w:val="30"/>
        </w:rPr>
        <w:t xml:space="preserve">зарегистрированные на территории </w:t>
      </w:r>
      <w:r w:rsidR="00A27AB7">
        <w:rPr>
          <w:rFonts w:ascii="Times New Roman" w:hAnsi="Times New Roman" w:cs="Times New Roman"/>
          <w:sz w:val="30"/>
          <w:szCs w:val="30"/>
        </w:rPr>
        <w:t xml:space="preserve">Партизанского района </w:t>
      </w:r>
      <w:r>
        <w:rPr>
          <w:rFonts w:ascii="Times New Roman" w:hAnsi="Times New Roman" w:cs="Times New Roman"/>
          <w:sz w:val="30"/>
          <w:szCs w:val="30"/>
        </w:rPr>
        <w:t>г.</w:t>
      </w:r>
      <w:r w:rsidR="00561BD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Минска</w:t>
      </w:r>
      <w:r w:rsidRPr="00234364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E7E2F" w:rsidRPr="007B537C" w:rsidRDefault="002E7E2F" w:rsidP="002E7E2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37C">
        <w:rPr>
          <w:rFonts w:ascii="Times New Roman" w:hAnsi="Times New Roman" w:cs="Times New Roman"/>
          <w:sz w:val="30"/>
          <w:szCs w:val="30"/>
        </w:rPr>
        <w:t>Не вправе участвовать в конкурсном отборе:</w:t>
      </w:r>
    </w:p>
    <w:p w:rsidR="002E7E2F" w:rsidRPr="00234364" w:rsidRDefault="002E7E2F" w:rsidP="002E7E2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>организации, находящиеся в процессе реорганизации, либо в отношении которых возбуждено производство по делу об экономической несостоятельности (банкротстве);</w:t>
      </w:r>
    </w:p>
    <w:p w:rsidR="002E7E2F" w:rsidRPr="00234364" w:rsidRDefault="002E7E2F" w:rsidP="002E7E2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>организации, со д</w:t>
      </w:r>
      <w:r>
        <w:rPr>
          <w:rFonts w:ascii="Times New Roman" w:hAnsi="Times New Roman" w:cs="Times New Roman"/>
          <w:sz w:val="30"/>
          <w:szCs w:val="30"/>
        </w:rPr>
        <w:t xml:space="preserve">ня государственной регистрации которых </w:t>
      </w:r>
      <w:r w:rsidRPr="00234364">
        <w:rPr>
          <w:rFonts w:ascii="Times New Roman" w:hAnsi="Times New Roman" w:cs="Times New Roman"/>
          <w:sz w:val="30"/>
          <w:szCs w:val="30"/>
        </w:rPr>
        <w:t>прошло менее пяти календарных лет до 31 декабря отчетного года.</w:t>
      </w:r>
    </w:p>
    <w:p w:rsidR="002E7E2F" w:rsidRDefault="002E7E2F" w:rsidP="002E7E2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234364">
        <w:rPr>
          <w:rFonts w:ascii="Times New Roman" w:hAnsi="Times New Roman" w:cs="Times New Roman"/>
          <w:sz w:val="30"/>
          <w:szCs w:val="30"/>
        </w:rPr>
        <w:t xml:space="preserve">, занесенные на Республиканскую доску Почета в течение двух лет подряд, не могут выступать в качестве участников </w:t>
      </w:r>
      <w:r>
        <w:rPr>
          <w:rFonts w:ascii="Times New Roman" w:hAnsi="Times New Roman" w:cs="Times New Roman"/>
          <w:sz w:val="30"/>
          <w:szCs w:val="30"/>
        </w:rPr>
        <w:t>Конкурса</w:t>
      </w:r>
      <w:r w:rsidRPr="00234364">
        <w:rPr>
          <w:rFonts w:ascii="Times New Roman" w:hAnsi="Times New Roman" w:cs="Times New Roman"/>
          <w:sz w:val="30"/>
          <w:szCs w:val="30"/>
        </w:rPr>
        <w:t>, проводимого в году, следующем за таким периодом.</w:t>
      </w:r>
    </w:p>
    <w:p w:rsidR="00A27AB7" w:rsidRPr="00561BD8" w:rsidRDefault="00A27AB7" w:rsidP="002E7E2F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E7E2F" w:rsidRPr="000057EA" w:rsidRDefault="002E7E2F" w:rsidP="00A27A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Обязательные условия для участия в Конкурсе</w:t>
      </w:r>
    </w:p>
    <w:p w:rsidR="002E7E2F" w:rsidRDefault="002E7E2F" w:rsidP="002E7E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5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Обязательными условиями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Конкурсе </w:t>
      </w:r>
      <w:r w:rsidRPr="00BF5EBF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являются:</w:t>
      </w:r>
    </w:p>
    <w:p w:rsidR="002E7E2F" w:rsidRPr="0052277E" w:rsidRDefault="002E7E2F" w:rsidP="002E7E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A27AB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52277E">
        <w:rPr>
          <w:rFonts w:ascii="Times New Roman" w:eastAsia="Times New Roman" w:hAnsi="Times New Roman" w:cs="Times New Roman"/>
          <w:sz w:val="30"/>
          <w:szCs w:val="30"/>
          <w:lang w:eastAsia="ru-RU"/>
        </w:rPr>
        <w:t>тсутствие в отчетном году несчастных случаев на производстве, повлекших смерт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ь работников по вине нанимателя.</w:t>
      </w:r>
    </w:p>
    <w:p w:rsidR="002E7E2F" w:rsidRPr="007B537C" w:rsidRDefault="002E7E2F" w:rsidP="002E7E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proofErr w:type="gramStart"/>
      <w:r w:rsidR="00A27AB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нереабилитирующим</w:t>
      </w:r>
      <w:proofErr w:type="spellEnd"/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</w:t>
      </w:r>
      <w:r w:rsidRPr="007B537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а также фактов нахождения таких лиц, привлекаемых к уголовной ответственности за коррупционные преступления, в занимаемой должности в этот период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2E7E2F" w:rsidRPr="007B537C" w:rsidRDefault="002E7E2F" w:rsidP="002E7E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3. </w:t>
      </w:r>
      <w:r w:rsidR="00A27AB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</w:t>
      </w:r>
      <w:r w:rsidRPr="007B537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тсутствие просроченной задолженности по выплате заработной платы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конец каждого месяца в отчетном 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году.</w:t>
      </w:r>
    </w:p>
    <w:p w:rsidR="002E7E2F" w:rsidRPr="007B537C" w:rsidRDefault="002E7E2F" w:rsidP="002E7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4. </w:t>
      </w:r>
      <w:proofErr w:type="spellStart"/>
      <w:r w:rsidR="00A27AB7">
        <w:rPr>
          <w:rFonts w:ascii="Times New Roman" w:eastAsia="Calibri" w:hAnsi="Times New Roman" w:cs="Times New Roman"/>
          <w:sz w:val="30"/>
          <w:szCs w:val="30"/>
        </w:rPr>
        <w:t>Н</w:t>
      </w:r>
      <w:r w:rsidRPr="007B537C">
        <w:rPr>
          <w:rFonts w:ascii="Times New Roman" w:eastAsia="Calibri" w:hAnsi="Times New Roman" w:cs="Times New Roman"/>
          <w:sz w:val="30"/>
          <w:szCs w:val="30"/>
        </w:rPr>
        <w:t>епредоставление</w:t>
      </w:r>
      <w:proofErr w:type="spellEnd"/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этим организациям в течение отчетного года:</w:t>
      </w:r>
    </w:p>
    <w:p w:rsidR="002E7E2F" w:rsidRPr="007B537C" w:rsidRDefault="002E7E2F" w:rsidP="002E7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4.1</w:t>
      </w:r>
      <w:r w:rsidR="00A27AB7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A27AB7">
        <w:rPr>
          <w:rFonts w:ascii="Times New Roman" w:eastAsia="Calibri" w:hAnsi="Times New Roman" w:cs="Times New Roman"/>
          <w:sz w:val="30"/>
          <w:szCs w:val="30"/>
        </w:rPr>
        <w:t>Г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осударственной финансовой поддержки в соответствии с подпунктом 1.7 пункта 1 Указа Президента Республики Беларусь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7B537C">
        <w:rPr>
          <w:rFonts w:ascii="Times New Roman" w:eastAsia="Calibri" w:hAnsi="Times New Roman" w:cs="Times New Roman"/>
          <w:sz w:val="30"/>
          <w:szCs w:val="30"/>
        </w:rPr>
        <w:t>от 23 марта 2016 г. № 106 «О государственных программах и оказании государственной финансовой поддержки» (далее – Указ № 106);</w:t>
      </w:r>
    </w:p>
    <w:p w:rsidR="002E7E2F" w:rsidRPr="007B537C" w:rsidRDefault="002E7E2F" w:rsidP="002E7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4.2</w:t>
      </w:r>
      <w:r w:rsidR="00A27AB7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A27AB7">
        <w:rPr>
          <w:rFonts w:ascii="Times New Roman" w:eastAsia="Calibri" w:hAnsi="Times New Roman" w:cs="Times New Roman"/>
          <w:sz w:val="30"/>
          <w:szCs w:val="30"/>
        </w:rPr>
        <w:t>О</w:t>
      </w:r>
      <w:r w:rsidRPr="007B537C">
        <w:rPr>
          <w:rFonts w:ascii="Times New Roman" w:eastAsia="Calibri" w:hAnsi="Times New Roman" w:cs="Times New Roman"/>
          <w:sz w:val="30"/>
          <w:szCs w:val="30"/>
        </w:rPr>
        <w:t>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:rsidR="002E7E2F" w:rsidRPr="007B537C" w:rsidRDefault="002E7E2F" w:rsidP="002E7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4.3</w:t>
      </w:r>
      <w:r w:rsidR="00A27AB7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A27AB7">
        <w:rPr>
          <w:rFonts w:ascii="Times New Roman" w:eastAsia="Calibri" w:hAnsi="Times New Roman" w:cs="Times New Roman"/>
          <w:sz w:val="30"/>
          <w:szCs w:val="30"/>
        </w:rPr>
        <w:t>О</w:t>
      </w:r>
      <w:r w:rsidRPr="007B537C">
        <w:rPr>
          <w:rFonts w:ascii="Times New Roman" w:eastAsia="Calibri" w:hAnsi="Times New Roman" w:cs="Times New Roman"/>
          <w:sz w:val="30"/>
          <w:szCs w:val="30"/>
        </w:rPr>
        <w:t>тсрочки и (или) рассрочки уплаты налогов, сборов (пошлин), пеней, налогового кредита;</w:t>
      </w:r>
    </w:p>
    <w:p w:rsidR="002E7E2F" w:rsidRPr="007B537C" w:rsidRDefault="002E7E2F" w:rsidP="002E7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4.4</w:t>
      </w:r>
      <w:r w:rsidR="00A27AB7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A27AB7">
        <w:rPr>
          <w:rFonts w:ascii="Times New Roman" w:eastAsia="Calibri" w:hAnsi="Times New Roman" w:cs="Times New Roman"/>
          <w:sz w:val="30"/>
          <w:szCs w:val="30"/>
        </w:rPr>
        <w:t>И</w:t>
      </w:r>
      <w:r w:rsidRPr="007B537C">
        <w:rPr>
          <w:rFonts w:ascii="Times New Roman" w:eastAsia="Calibri" w:hAnsi="Times New Roman" w:cs="Times New Roman"/>
          <w:sz w:val="30"/>
          <w:szCs w:val="30"/>
        </w:rPr>
        <w:t>ной государственной поддержки,</w:t>
      </w:r>
      <w:r w:rsidRPr="007B537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решение о предоставлении которой принято до вступления в силу 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Указа № 106,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за исключением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п</w:t>
      </w:r>
      <w:r w:rsidRPr="007B537C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редоставленной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для развития </w:t>
      </w:r>
      <w:r w:rsidRPr="007B537C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высокоэффективных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производств, реализации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B537C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инвестиционных проектов с высокой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добавленной</w:t>
      </w:r>
      <w:r w:rsidRPr="007B537C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 стоимостью, государственных и отраслевых программ и мероприятий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в агропромышленном комплексе при условии выполнения показателей, являющихся условием </w:t>
      </w:r>
      <w:r>
        <w:rPr>
          <w:rFonts w:ascii="Times New Roman" w:eastAsia="Calibri" w:hAnsi="Times New Roman" w:cs="Times New Roman"/>
          <w:sz w:val="30"/>
          <w:szCs w:val="30"/>
        </w:rPr>
        <w:t>оказания государственной поддержки.</w:t>
      </w:r>
    </w:p>
    <w:p w:rsidR="002E7E2F" w:rsidRPr="007B537C" w:rsidRDefault="002E7E2F" w:rsidP="002E7E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>ля организаций сельского хозяйства – помимо условий,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перечисленных выше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выполнение </w:t>
      </w:r>
      <w:r w:rsidRPr="007B537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объемов поставок (закупок) товаров для республиканских государственных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нужд.</w:t>
      </w:r>
    </w:p>
    <w:p w:rsidR="00A27AB7" w:rsidRPr="00561BD8" w:rsidRDefault="00A27AB7" w:rsidP="002E7E2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E7E2F" w:rsidRPr="000057EA" w:rsidRDefault="002E7E2F" w:rsidP="00A2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документов, предоставляемых для участия в Конкурсе</w:t>
      </w:r>
    </w:p>
    <w:p w:rsidR="002E7E2F" w:rsidRPr="00AC7AEA" w:rsidRDefault="002E7E2F" w:rsidP="002E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Для участия в Конкурсе организациям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Партизанского района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г.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Минска необхо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димо представить в администрацию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Партизанского района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г.</w:t>
      </w:r>
      <w:r w:rsidR="00A27A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Минска по месту их государственной регистрации следующие документы:</w:t>
      </w:r>
    </w:p>
    <w:p w:rsidR="002E7E2F" w:rsidRPr="00AC7AEA" w:rsidRDefault="002E7E2F" w:rsidP="002E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1.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27AB7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E61907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аявку</w:t>
      </w:r>
      <w:r w:rsidRPr="00E61907">
        <w:t xml:space="preserve"> </w:t>
      </w:r>
      <w:proofErr w:type="gramStart"/>
      <w:r w:rsidRPr="00E61907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B83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B839AE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</w:t>
      </w:r>
      <w:r w:rsidRPr="00313C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Pr="0027197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инструкциями о порядке</w:t>
      </w:r>
      <w:proofErr w:type="gramEnd"/>
      <w:r w:rsidRPr="0027197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отбора претендентов на занесение на Республиканскую доску Почета, разработанными республиканскими органами государственного управления, ответственными за определение претендентов, по соответствующим номинациям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E7E2F" w:rsidRDefault="002E7E2F" w:rsidP="002E7E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о выполнении обязательных условий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критериев и показателей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 работы</w:t>
      </w:r>
      <w:r w:rsidRP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отчетный год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формам, определенным в </w:t>
      </w:r>
      <w:r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инструкциях республиканских органов государственного управления, ответственных за определение претендентов на занесение на Республиканскую доску Почета, по соответствующим номинациям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br/>
        <w:t>(в 2-х экземплярах)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E7E2F" w:rsidRDefault="002E7E2F" w:rsidP="002E7E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5D67D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правку 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итогах деятельности и достижениях за отчетный год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произвольной форме объемом не более 3-х листов (в 2-х экземплярах).</w:t>
      </w:r>
    </w:p>
    <w:p w:rsidR="002E7E2F" w:rsidRPr="00561BD8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2E7E2F" w:rsidRPr="000057EA" w:rsidRDefault="002E7E2F" w:rsidP="005D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Прием документов</w:t>
      </w:r>
    </w:p>
    <w:p w:rsidR="002E7E2F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онкурсе документы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от организаций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направляются в 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администрацию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Партизанского района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г.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Минска 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понедельник-четверг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8.45 до 18.00, в пятницу с 8.45 до 16.45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2E7E2F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Документы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представленные в администрацию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Партизанского района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г.</w:t>
      </w:r>
      <w:r w:rsidR="005D67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Минска с нарушением установленного срока их представления, а также не соответствующие требованиям,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 рассмотрению не принимаются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2E7E2F" w:rsidRPr="00561BD8" w:rsidRDefault="002E7E2F" w:rsidP="002E7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E2F" w:rsidRDefault="002E7E2F" w:rsidP="005D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Контактн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ые</w:t>
      </w: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а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Минском г</w:t>
      </w:r>
      <w:r w:rsidRP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орисполком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57B4E" w:rsidRPr="00857B4E" w:rsidRDefault="00857B4E" w:rsidP="0085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тел.: 218-03-09, </w:t>
      </w:r>
      <w:proofErr w:type="spellStart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Савринович</w:t>
      </w:r>
      <w:proofErr w:type="spellEnd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Анатольевна – заместитель начальника управления экономического анализа и прогноза комитета экономики </w:t>
      </w:r>
      <w:proofErr w:type="spellStart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57B4E" w:rsidRPr="00857B4E" w:rsidRDefault="00857B4E" w:rsidP="0085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B4E" w:rsidRPr="00857B4E" w:rsidRDefault="00857B4E" w:rsidP="0085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тел.: 2</w:t>
      </w:r>
      <w:r w:rsidR="00D23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18-02-25, </w:t>
      </w:r>
      <w:proofErr w:type="spellStart"/>
      <w:r w:rsidR="00D236E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Семенкова</w:t>
      </w:r>
      <w:proofErr w:type="spellEnd"/>
      <w:r w:rsidR="00D23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Татьяна Михайло</w:t>
      </w:r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вна – начальник отдела прогнозирования управления экономического анализа и прогноза комитета экономики </w:t>
      </w:r>
      <w:proofErr w:type="spellStart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  <w:r w:rsidRPr="00857B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7B4E" w:rsidRPr="00857B4E" w:rsidRDefault="00857B4E" w:rsidP="0085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E2F" w:rsidRPr="00D743A5" w:rsidRDefault="005D67D0" w:rsidP="005D67D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2E7E2F" w:rsidRPr="00D743A5">
        <w:rPr>
          <w:rFonts w:ascii="Times New Roman" w:hAnsi="Times New Roman" w:cs="Times New Roman"/>
          <w:b/>
          <w:bCs/>
          <w:sz w:val="30"/>
          <w:szCs w:val="30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2E7E2F" w:rsidRPr="000A35AE" w:rsidTr="005D67D0">
        <w:trPr>
          <w:tblHeader/>
        </w:trPr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районы г.</w:t>
            </w:r>
            <w:r w:rsidR="005D67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Минска,</w:t>
            </w:r>
          </w:p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промышленности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организации, осуществляющие деятельность в строительстве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сельского и рыбного хозяйства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лесного хозяйства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торговли, 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24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«О порядке определения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издательскую деятельность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1 «О порядке определения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организации, осуществляющие транспортную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деятельность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транспорта и коммуникаций Республики Беларусь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 образования</w:t>
            </w:r>
          </w:p>
        </w:tc>
        <w:tc>
          <w:tcPr>
            <w:tcW w:w="6804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22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культуры</w:t>
            </w:r>
          </w:p>
        </w:tc>
        <w:tc>
          <w:tcPr>
            <w:tcW w:w="6804" w:type="dxa"/>
            <w:shd w:val="clear" w:color="auto" w:fill="auto"/>
          </w:tcPr>
          <w:p w:rsidR="002E7E2F" w:rsidRPr="004F6449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br/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здравоохранения</w:t>
            </w:r>
          </w:p>
        </w:tc>
        <w:tc>
          <w:tcPr>
            <w:tcW w:w="6804" w:type="dxa"/>
            <w:shd w:val="clear" w:color="auto" w:fill="auto"/>
          </w:tcPr>
          <w:p w:rsidR="002E7E2F" w:rsidRPr="004F6449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Почета, утвержденная постановлением Министерства здравоохранения Республики Беларусь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.02.20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«О порядке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социального обслуживания</w:t>
            </w:r>
          </w:p>
        </w:tc>
        <w:tc>
          <w:tcPr>
            <w:tcW w:w="6804" w:type="dxa"/>
            <w:shd w:val="clear" w:color="auto" w:fill="auto"/>
          </w:tcPr>
          <w:p w:rsidR="002E7E2F" w:rsidRPr="004F6449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 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br/>
              <w:t>26.02.2019 № 8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2E7E2F" w:rsidRPr="000A35AE" w:rsidTr="005D67D0">
        <w:tc>
          <w:tcPr>
            <w:tcW w:w="3119" w:type="dxa"/>
            <w:shd w:val="clear" w:color="auto" w:fill="auto"/>
          </w:tcPr>
          <w:p w:rsidR="002E7E2F" w:rsidRPr="000A35AE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6804" w:type="dxa"/>
            <w:shd w:val="clear" w:color="auto" w:fill="auto"/>
          </w:tcPr>
          <w:p w:rsidR="002E7E2F" w:rsidRPr="00A9168C" w:rsidRDefault="002E7E2F" w:rsidP="001D33F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отбора претендентов на занесение на Р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еспубликанскую доску Почета, утвержденная постановлением Министерства спорта и туризма Республики Беларусь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«О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 отборе претендентов на занесение на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Республиканскую доску Почета»</w:t>
            </w:r>
          </w:p>
        </w:tc>
      </w:tr>
    </w:tbl>
    <w:p w:rsidR="004A7326" w:rsidRDefault="004A7326" w:rsidP="004A7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A7326" w:rsidRPr="004A7326" w:rsidRDefault="004A7326" w:rsidP="004A73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</w:r>
      <w:r w:rsidRPr="004A7326">
        <w:rPr>
          <w:rFonts w:ascii="Times New Roman" w:eastAsia="Calibri" w:hAnsi="Times New Roman" w:cs="Times New Roman"/>
          <w:b/>
          <w:bCs/>
          <w:sz w:val="30"/>
          <w:szCs w:val="30"/>
        </w:rPr>
        <w:t>Справочная информация</w:t>
      </w:r>
    </w:p>
    <w:p w:rsidR="004A7326" w:rsidRPr="004A7326" w:rsidRDefault="004A7326" w:rsidP="004A73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A7326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A7326">
        <w:rPr>
          <w:rFonts w:ascii="Times New Roman" w:eastAsia="Calibri" w:hAnsi="Times New Roman" w:cs="Times New Roman"/>
          <w:sz w:val="30"/>
          <w:szCs w:val="30"/>
        </w:rPr>
        <w:t>Организациям Партизанского района г. Минска перед представлен</w:t>
      </w:r>
      <w:r w:rsidR="00561BD8">
        <w:rPr>
          <w:rFonts w:ascii="Times New Roman" w:eastAsia="Calibri" w:hAnsi="Times New Roman" w:cs="Times New Roman"/>
          <w:sz w:val="30"/>
          <w:szCs w:val="30"/>
        </w:rPr>
        <w:t>ием материалов в администрацию П</w:t>
      </w:r>
      <w:r w:rsidRPr="004A7326">
        <w:rPr>
          <w:rFonts w:ascii="Times New Roman" w:eastAsia="Calibri" w:hAnsi="Times New Roman" w:cs="Times New Roman"/>
          <w:sz w:val="30"/>
          <w:szCs w:val="30"/>
        </w:rPr>
        <w:t>артизанского района  г</w:t>
      </w:r>
      <w:proofErr w:type="gramStart"/>
      <w:r w:rsidRPr="004A7326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Pr="004A7326">
        <w:rPr>
          <w:rFonts w:ascii="Times New Roman" w:eastAsia="Calibri" w:hAnsi="Times New Roman" w:cs="Times New Roman"/>
          <w:sz w:val="30"/>
          <w:szCs w:val="30"/>
        </w:rPr>
        <w:t xml:space="preserve">инска для участия в конкурсном отборе по определению лучших кандидатур для выдвижения в претенденты на занесение на Республиканскую доску Почета </w:t>
      </w:r>
      <w:r w:rsidR="00561BD8">
        <w:rPr>
          <w:rFonts w:ascii="Times New Roman" w:eastAsia="Calibri" w:hAnsi="Times New Roman" w:cs="Times New Roman"/>
          <w:sz w:val="30"/>
          <w:szCs w:val="30"/>
        </w:rPr>
        <w:t xml:space="preserve">необходимо </w:t>
      </w:r>
      <w:r w:rsidRPr="004A7326">
        <w:rPr>
          <w:rFonts w:ascii="Times New Roman" w:eastAsia="Calibri" w:hAnsi="Times New Roman" w:cs="Times New Roman"/>
          <w:sz w:val="30"/>
          <w:szCs w:val="30"/>
        </w:rPr>
        <w:t>направить справки о выполнении обязательных условий, критериев и п</w:t>
      </w:r>
      <w:r w:rsidR="00D743A5">
        <w:rPr>
          <w:rFonts w:ascii="Times New Roman" w:eastAsia="Calibri" w:hAnsi="Times New Roman" w:cs="Times New Roman"/>
          <w:sz w:val="30"/>
          <w:szCs w:val="30"/>
        </w:rPr>
        <w:t>оказателей оценки работы за 2024</w:t>
      </w:r>
      <w:r w:rsidRPr="004A7326">
        <w:rPr>
          <w:rFonts w:ascii="Times New Roman" w:eastAsia="Calibri" w:hAnsi="Times New Roman" w:cs="Times New Roman"/>
          <w:sz w:val="30"/>
          <w:szCs w:val="30"/>
        </w:rPr>
        <w:t xml:space="preserve"> год (с сопроводительным письмом организации) на согласование в Главное статистическое управление города Минска по</w:t>
      </w:r>
      <w:r w:rsidR="00561BD8">
        <w:rPr>
          <w:rFonts w:ascii="Times New Roman" w:eastAsia="Calibri" w:hAnsi="Times New Roman" w:cs="Times New Roman"/>
          <w:sz w:val="30"/>
          <w:szCs w:val="30"/>
        </w:rPr>
        <w:t xml:space="preserve"> эл. почте: </w:t>
      </w:r>
      <w:hyperlink r:id="rId8" w:history="1">
        <w:r w:rsidRPr="004A7326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svod.minsk-city@belstat.gov.by</w:t>
        </w:r>
      </w:hyperlink>
      <w:r w:rsidRPr="004A7326">
        <w:rPr>
          <w:rFonts w:ascii="Times New Roman" w:eastAsia="Calibri" w:hAnsi="Times New Roman" w:cs="Times New Roman"/>
          <w:sz w:val="30"/>
          <w:szCs w:val="30"/>
        </w:rPr>
        <w:t>. При отправке показателей для согласования на эл. почту необходимо указать контактный номер телефона и тему письма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4A7326">
        <w:rPr>
          <w:rFonts w:ascii="Times New Roman" w:eastAsia="Calibri" w:hAnsi="Times New Roman" w:cs="Times New Roman"/>
          <w:sz w:val="30"/>
          <w:szCs w:val="30"/>
        </w:rPr>
        <w:t xml:space="preserve"> «Республиканская доска Почета».</w:t>
      </w:r>
    </w:p>
    <w:p w:rsidR="004A7326" w:rsidRPr="004A7326" w:rsidRDefault="004A7326" w:rsidP="004A73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7326" w:rsidRPr="004A7326" w:rsidRDefault="004A7326" w:rsidP="004A73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326">
        <w:rPr>
          <w:rFonts w:ascii="Times New Roman" w:eastAsia="Calibri" w:hAnsi="Times New Roman" w:cs="Times New Roman"/>
          <w:sz w:val="30"/>
          <w:szCs w:val="30"/>
        </w:rPr>
        <w:t xml:space="preserve">Куратор в </w:t>
      </w:r>
      <w:proofErr w:type="spellStart"/>
      <w:r w:rsidRPr="004A7326">
        <w:rPr>
          <w:rFonts w:ascii="Times New Roman" w:eastAsia="Calibri" w:hAnsi="Times New Roman" w:cs="Times New Roman"/>
          <w:sz w:val="30"/>
          <w:szCs w:val="30"/>
        </w:rPr>
        <w:t>Горстате</w:t>
      </w:r>
      <w:proofErr w:type="spellEnd"/>
      <w:r w:rsidRPr="004A7326">
        <w:rPr>
          <w:rFonts w:ascii="Times New Roman" w:eastAsia="Calibri" w:hAnsi="Times New Roman" w:cs="Times New Roman"/>
          <w:sz w:val="30"/>
          <w:szCs w:val="30"/>
        </w:rPr>
        <w:t xml:space="preserve"> для согласования показателей: </w:t>
      </w:r>
    </w:p>
    <w:p w:rsidR="004A7326" w:rsidRPr="004A7326" w:rsidRDefault="004A7326" w:rsidP="004A73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326">
        <w:rPr>
          <w:rFonts w:ascii="Times New Roman" w:eastAsia="Calibri" w:hAnsi="Times New Roman" w:cs="Times New Roman"/>
          <w:sz w:val="30"/>
          <w:szCs w:val="30"/>
        </w:rPr>
        <w:t>Рогаль Алексан</w:t>
      </w:r>
      <w:r w:rsidR="00D743A5">
        <w:rPr>
          <w:rFonts w:ascii="Times New Roman" w:eastAsia="Calibri" w:hAnsi="Times New Roman" w:cs="Times New Roman"/>
          <w:sz w:val="30"/>
          <w:szCs w:val="30"/>
        </w:rPr>
        <w:t>др Дмитриевич тел.: 324 85 55.</w:t>
      </w:r>
    </w:p>
    <w:p w:rsidR="004A7326" w:rsidRDefault="004A7326" w:rsidP="004A7326">
      <w:pPr>
        <w:spacing w:after="1" w:line="2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7326" w:rsidRPr="00D743A5" w:rsidRDefault="004A7326" w:rsidP="004A7326">
      <w:pPr>
        <w:spacing w:after="1" w:line="22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3A5">
        <w:rPr>
          <w:rFonts w:ascii="Times New Roman" w:hAnsi="Times New Roman" w:cs="Times New Roman"/>
          <w:b/>
          <w:sz w:val="30"/>
          <w:szCs w:val="30"/>
        </w:rPr>
        <w:t>Справка</w:t>
      </w:r>
    </w:p>
    <w:p w:rsidR="004A7326" w:rsidRPr="00D743A5" w:rsidRDefault="004A7326" w:rsidP="004A7326">
      <w:pPr>
        <w:spacing w:after="1" w:line="22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3A5">
        <w:rPr>
          <w:rFonts w:ascii="Times New Roman" w:hAnsi="Times New Roman" w:cs="Times New Roman"/>
          <w:b/>
          <w:sz w:val="30"/>
          <w:szCs w:val="30"/>
        </w:rPr>
        <w:t>о выполнении обязательных условий, критериев и п</w:t>
      </w:r>
      <w:r w:rsidR="00D743A5" w:rsidRPr="00D743A5">
        <w:rPr>
          <w:rFonts w:ascii="Times New Roman" w:hAnsi="Times New Roman" w:cs="Times New Roman"/>
          <w:b/>
          <w:sz w:val="30"/>
          <w:szCs w:val="30"/>
        </w:rPr>
        <w:t>оказателей оценки работы за 2024</w:t>
      </w:r>
      <w:r w:rsidRPr="00D743A5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A7326" w:rsidRPr="004A7326" w:rsidTr="001D33FB">
        <w:tc>
          <w:tcPr>
            <w:tcW w:w="9679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4A7326" w:rsidRPr="004A7326" w:rsidRDefault="004A7326" w:rsidP="004A7326">
      <w:pPr>
        <w:spacing w:after="1" w:line="220" w:lineRule="atLeast"/>
        <w:jc w:val="center"/>
        <w:rPr>
          <w:rFonts w:ascii="Times New Roman" w:hAnsi="Times New Roman" w:cs="Times New Roman"/>
          <w:sz w:val="30"/>
          <w:szCs w:val="30"/>
        </w:rPr>
      </w:pPr>
      <w:r w:rsidRPr="004A7326">
        <w:rPr>
          <w:rFonts w:ascii="Times New Roman" w:hAnsi="Times New Roman" w:cs="Times New Roman"/>
          <w:sz w:val="30"/>
          <w:szCs w:val="30"/>
        </w:rPr>
        <w:t xml:space="preserve"> (организация)</w:t>
      </w:r>
    </w:p>
    <w:p w:rsidR="004A7326" w:rsidRPr="004A7326" w:rsidRDefault="004A7326" w:rsidP="004A732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843"/>
      </w:tblGrid>
      <w:tr w:rsidR="004A7326" w:rsidRPr="004A7326" w:rsidTr="004A7326">
        <w:tc>
          <w:tcPr>
            <w:tcW w:w="8080" w:type="dxa"/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 (критерия)</w:t>
            </w:r>
          </w:p>
        </w:tc>
        <w:tc>
          <w:tcPr>
            <w:tcW w:w="1843" w:type="dxa"/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Значение</w:t>
            </w:r>
          </w:p>
        </w:tc>
      </w:tr>
      <w:tr w:rsidR="004A7326" w:rsidRPr="004A7326" w:rsidTr="004A7326">
        <w:tc>
          <w:tcPr>
            <w:tcW w:w="8080" w:type="dxa"/>
          </w:tcPr>
          <w:p w:rsidR="004A7326" w:rsidRPr="004A7326" w:rsidRDefault="004A7326" w:rsidP="004A7326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1. Выполнение обязательных условий (</w:t>
            </w:r>
            <w:hyperlink r:id="rId9" w:history="1">
              <w:r w:rsidRPr="004A7326">
                <w:rPr>
                  <w:rFonts w:ascii="Times New Roman" w:hAnsi="Times New Roman" w:cs="Times New Roman"/>
                  <w:sz w:val="30"/>
                  <w:szCs w:val="30"/>
                </w:rPr>
                <w:t>подпункты 12.1</w:t>
              </w:r>
            </w:hyperlink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hyperlink r:id="rId10" w:history="1">
              <w:r w:rsidRPr="004A7326">
                <w:rPr>
                  <w:rFonts w:ascii="Times New Roman" w:hAnsi="Times New Roman" w:cs="Times New Roman"/>
                  <w:sz w:val="30"/>
                  <w:szCs w:val="30"/>
                </w:rPr>
                <w:t>12.2 пункта 12</w:t>
              </w:r>
            </w:hyperlink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Положения)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  <w:proofErr w:type="gramEnd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/есть</w:t>
            </w:r>
          </w:p>
        </w:tc>
      </w:tr>
      <w:tr w:rsidR="004A7326" w:rsidRPr="004A7326" w:rsidTr="004A7326">
        <w:tblPrEx>
          <w:tblCellMar>
            <w:top w:w="28" w:type="dxa"/>
          </w:tblCellMar>
        </w:tblPrEx>
        <w:trPr>
          <w:trHeight w:val="527"/>
        </w:trPr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отсутствие в отчетном году несчастных случаев на производстве, повлекших смерть работников по вине нанимателя;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      </w:r>
            <w:proofErr w:type="spell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нереабилитирующим</w:t>
            </w:r>
            <w:proofErr w:type="spellEnd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      </w:r>
            <w:proofErr w:type="gramEnd"/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просроченной задолженности по выплате заработной платы на конец каждого месяца в отчетном </w:t>
            </w:r>
            <w:r w:rsidRPr="004A732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году;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rPr>
          <w:trHeight w:val="333"/>
        </w:trPr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непредоставление</w:t>
            </w:r>
            <w:proofErr w:type="spellEnd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этим организациям в течение отчетного года: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государственной финансовой поддержки в соответствии с </w:t>
            </w:r>
            <w:hyperlink r:id="rId11" w:history="1">
              <w:r w:rsidRPr="004A7326">
                <w:rPr>
                  <w:rFonts w:ascii="Times New Roman" w:hAnsi="Times New Roman" w:cs="Times New Roman"/>
                  <w:sz w:val="30"/>
                  <w:szCs w:val="30"/>
                </w:rPr>
                <w:t>подпунктом 1.7 пункта 1</w:t>
              </w:r>
            </w:hyperlink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Указа Президента Республики Беларусь от 23 марта 2016 г. № 106 «О государственных программах и оказании государственной финансовой поддержки»;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отсрочки и (или) рассрочки уплаты налогов, сборов (пошлин), пеней, налогового кредита;</w:t>
            </w:r>
            <w:proofErr w:type="gramEnd"/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CellMar>
            <w:top w:w="28" w:type="dxa"/>
          </w:tblCellMar>
        </w:tblPrEx>
        <w:tc>
          <w:tcPr>
            <w:tcW w:w="8080" w:type="dxa"/>
            <w:tcMar>
              <w:top w:w="0" w:type="dxa"/>
            </w:tcMar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иной государственной поддержки, решение о предоставлении которой принято до вступления в силу </w:t>
            </w:r>
            <w:hyperlink r:id="rId12" w:history="1">
              <w:r w:rsidRPr="004A7326">
                <w:rPr>
                  <w:rFonts w:ascii="Times New Roman" w:hAnsi="Times New Roman" w:cs="Times New Roman"/>
                  <w:sz w:val="30"/>
                  <w:szCs w:val="30"/>
                </w:rPr>
                <w:t>Указа</w:t>
              </w:r>
            </w:hyperlink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      </w:r>
            <w:proofErr w:type="gramEnd"/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c>
          <w:tcPr>
            <w:tcW w:w="8080" w:type="dxa"/>
          </w:tcPr>
          <w:p w:rsidR="004A7326" w:rsidRPr="004A7326" w:rsidRDefault="004A7326" w:rsidP="004A7326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2. Выполнение критериев и показателей, используемых для оценки работы по соответствующей номинации</w:t>
            </w:r>
          </w:p>
        </w:tc>
        <w:tc>
          <w:tcPr>
            <w:tcW w:w="1843" w:type="dxa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Рентабельность продаж,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Чистая прибыль, убыток</w:t>
            </w: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(-) </w:t>
            </w:r>
            <w:proofErr w:type="gramEnd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на одного среднесписочного работника, тыс. белорусских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Экспорт товаров, в процентах 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Отношение номинальной начисленной среднемесячной заработной платы </w:t>
            </w:r>
            <w:proofErr w:type="gramStart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в организации к номинальной начисленной среднемесячной заработной плате по республике по основному для организации</w:t>
            </w:r>
            <w:proofErr w:type="gramEnd"/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 виду экономической деятельности,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Удельный вес просроченной дебиторской задолженности в общей сумме дебиторской задолженности,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Удельный вес просроченной кредиторской задолженности в общей сумме кредиторской задолженности,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Удельный вес просроченной задолженности по кредитам и займам в общей сумме задолженности по кредитам и займам,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Снижение уровня затрат на производство и реализацию продукции (работ, услуг), в процентах </w:t>
            </w:r>
            <w:r w:rsidR="00D743A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за 9 месяцев 2024</w:t>
            </w:r>
            <w:r w:rsidRPr="004A732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 xml:space="preserve">Снижение уровня затрат на производство и реализацию продукции (работ, услуг), в процентах </w:t>
            </w:r>
            <w:r w:rsidR="00D743A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за 2023</w:t>
            </w:r>
            <w:r w:rsidRPr="004A732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326" w:rsidRPr="004A7326" w:rsidRDefault="004A7326" w:rsidP="004A7326">
            <w:pPr>
              <w:spacing w:after="1" w:line="220" w:lineRule="atLeast"/>
              <w:ind w:left="22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Целевой показатель энергосбережения,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задание___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</w:t>
            </w:r>
          </w:p>
        </w:tc>
      </w:tr>
      <w:tr w:rsidR="004A7326" w:rsidRPr="004A7326" w:rsidTr="004A732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6" w:rsidRPr="004A7326" w:rsidRDefault="004A7326" w:rsidP="001D33FB">
            <w:pPr>
              <w:spacing w:after="1" w:line="220" w:lineRule="atLeast"/>
              <w:ind w:left="22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26" w:rsidRPr="004A7326" w:rsidRDefault="004A7326" w:rsidP="001D33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7326">
              <w:rPr>
                <w:rFonts w:ascii="Times New Roman" w:hAnsi="Times New Roman" w:cs="Times New Roman"/>
                <w:sz w:val="30"/>
                <w:szCs w:val="30"/>
              </w:rPr>
              <w:t>факт______</w:t>
            </w:r>
          </w:p>
        </w:tc>
      </w:tr>
    </w:tbl>
    <w:p w:rsidR="004A7326" w:rsidRPr="004A7326" w:rsidRDefault="004A7326" w:rsidP="004A732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A7326" w:rsidRPr="004A7326" w:rsidRDefault="004A7326" w:rsidP="004A732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A7326">
        <w:rPr>
          <w:rFonts w:ascii="Times New Roman" w:hAnsi="Times New Roman" w:cs="Times New Roman"/>
          <w:sz w:val="30"/>
          <w:szCs w:val="30"/>
        </w:rPr>
        <w:t>Перечень прилагаемых документов: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A7326" w:rsidRPr="004A7326" w:rsidTr="001D33FB">
        <w:tc>
          <w:tcPr>
            <w:tcW w:w="9679" w:type="dxa"/>
            <w:tcBorders>
              <w:bottom w:val="single" w:sz="4" w:space="0" w:color="auto"/>
            </w:tcBorders>
          </w:tcPr>
          <w:p w:rsidR="004A7326" w:rsidRPr="004A7326" w:rsidRDefault="004A7326" w:rsidP="001D33FB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70C0"/>
                <w:sz w:val="30"/>
                <w:szCs w:val="30"/>
                <w:lang w:val="ru-RU"/>
              </w:rPr>
            </w:pPr>
          </w:p>
        </w:tc>
      </w:tr>
      <w:tr w:rsidR="004A7326" w:rsidRPr="004A7326" w:rsidTr="001D33FB">
        <w:tc>
          <w:tcPr>
            <w:tcW w:w="9679" w:type="dxa"/>
            <w:tcBorders>
              <w:top w:val="single" w:sz="4" w:space="0" w:color="auto"/>
              <w:bottom w:val="single" w:sz="4" w:space="0" w:color="auto"/>
            </w:tcBorders>
          </w:tcPr>
          <w:p w:rsidR="004A7326" w:rsidRPr="004A7326" w:rsidRDefault="004A7326" w:rsidP="001D33FB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70C0"/>
                <w:sz w:val="30"/>
                <w:szCs w:val="30"/>
                <w:lang w:val="ru-RU"/>
              </w:rPr>
            </w:pPr>
          </w:p>
        </w:tc>
      </w:tr>
      <w:tr w:rsidR="004A7326" w:rsidRPr="004A7326" w:rsidTr="001D33FB">
        <w:tc>
          <w:tcPr>
            <w:tcW w:w="9679" w:type="dxa"/>
            <w:tcBorders>
              <w:top w:val="single" w:sz="4" w:space="0" w:color="auto"/>
            </w:tcBorders>
          </w:tcPr>
          <w:p w:rsidR="004A7326" w:rsidRPr="004A7326" w:rsidRDefault="004A7326" w:rsidP="001D33FB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70C0"/>
                <w:sz w:val="30"/>
                <w:szCs w:val="30"/>
                <w:lang w:val="ru-RU"/>
              </w:rPr>
            </w:pPr>
          </w:p>
        </w:tc>
      </w:tr>
    </w:tbl>
    <w:p w:rsidR="004A7326" w:rsidRPr="004A7326" w:rsidRDefault="004A7326" w:rsidP="004A7326">
      <w:pPr>
        <w:spacing w:after="1" w:line="220" w:lineRule="atLeast"/>
        <w:jc w:val="both"/>
        <w:rPr>
          <w:rFonts w:ascii="Times New Roman" w:hAnsi="Times New Roman" w:cs="Times New Roman"/>
          <w:color w:val="0070C0"/>
          <w:sz w:val="30"/>
          <w:szCs w:val="30"/>
        </w:rPr>
      </w:pPr>
    </w:p>
    <w:p w:rsidR="004A7326" w:rsidRPr="004A7326" w:rsidRDefault="004A7326" w:rsidP="004A7326">
      <w:pPr>
        <w:spacing w:after="1" w:line="22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4A7326">
        <w:rPr>
          <w:rFonts w:ascii="Times New Roman" w:hAnsi="Times New Roman" w:cs="Times New Roman"/>
          <w:sz w:val="30"/>
          <w:szCs w:val="30"/>
        </w:rPr>
        <w:t>Руководитель      ________________»</w:t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  <w:t xml:space="preserve">  _____________________</w:t>
      </w:r>
    </w:p>
    <w:p w:rsidR="004A7326" w:rsidRPr="004A7326" w:rsidRDefault="004A7326" w:rsidP="004A7326">
      <w:pPr>
        <w:spacing w:after="1" w:line="22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  <w:t>(подпись)</w:t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</w:r>
      <w:r w:rsidRPr="004A7326">
        <w:rPr>
          <w:rFonts w:ascii="Times New Roman" w:hAnsi="Times New Roman" w:cs="Times New Roman"/>
          <w:sz w:val="30"/>
          <w:szCs w:val="30"/>
        </w:rPr>
        <w:tab/>
        <w:t>(расшифровка подписи)</w:t>
      </w:r>
    </w:p>
    <w:p w:rsidR="004A7326" w:rsidRPr="0013072E" w:rsidRDefault="004A7326" w:rsidP="004A732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E7E2F" w:rsidRDefault="002E7E2F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561BD8" w:rsidRDefault="00561BD8" w:rsidP="002E7E2F">
      <w:pPr>
        <w:pStyle w:val="ConsPlusNormal"/>
        <w:jc w:val="both"/>
        <w:outlineLvl w:val="0"/>
      </w:pPr>
    </w:p>
    <w:p w:rsidR="00561BD8" w:rsidRDefault="00561BD8" w:rsidP="002E7E2F">
      <w:pPr>
        <w:pStyle w:val="ConsPlusNormal"/>
        <w:jc w:val="both"/>
        <w:outlineLvl w:val="0"/>
      </w:pPr>
    </w:p>
    <w:p w:rsidR="00D743A5" w:rsidRDefault="00D743A5" w:rsidP="002E7E2F">
      <w:pPr>
        <w:pStyle w:val="ConsPlusNormal"/>
        <w:jc w:val="both"/>
        <w:outlineLvl w:val="0"/>
      </w:pPr>
    </w:p>
    <w:p w:rsidR="00D743A5" w:rsidRDefault="00D743A5" w:rsidP="002E7E2F">
      <w:pPr>
        <w:pStyle w:val="ConsPlusNormal"/>
        <w:jc w:val="both"/>
        <w:outlineLvl w:val="0"/>
      </w:pPr>
    </w:p>
    <w:p w:rsidR="00D743A5" w:rsidRDefault="00D743A5" w:rsidP="002E7E2F">
      <w:pPr>
        <w:pStyle w:val="ConsPlusNormal"/>
        <w:jc w:val="both"/>
        <w:outlineLvl w:val="0"/>
      </w:pPr>
    </w:p>
    <w:p w:rsidR="00561BD8" w:rsidRDefault="00561BD8" w:rsidP="002E7E2F">
      <w:pPr>
        <w:pStyle w:val="ConsPlusNormal"/>
        <w:jc w:val="both"/>
        <w:outlineLvl w:val="0"/>
      </w:pPr>
    </w:p>
    <w:p w:rsidR="004A7326" w:rsidRDefault="004A7326" w:rsidP="002E7E2F">
      <w:pPr>
        <w:pStyle w:val="ConsPlusNormal"/>
        <w:jc w:val="both"/>
        <w:outlineLvl w:val="0"/>
      </w:pPr>
    </w:p>
    <w:p w:rsidR="002E7E2F" w:rsidRDefault="002E7E2F" w:rsidP="002E7E2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2E7E2F" w:rsidRDefault="002E7E2F" w:rsidP="002E7E2F">
      <w:pPr>
        <w:pStyle w:val="ConsPlusNormal"/>
        <w:spacing w:before="220"/>
        <w:jc w:val="both"/>
      </w:pPr>
      <w:r>
        <w:t>Республики Беларусь 4 октября 1999 г. N 1/682</w:t>
      </w:r>
    </w:p>
    <w:p w:rsidR="002E7E2F" w:rsidRDefault="002E7E2F" w:rsidP="002E7E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7E2F" w:rsidRDefault="002E7E2F" w:rsidP="002E7E2F">
      <w:pPr>
        <w:pStyle w:val="ConsPlusNormal"/>
      </w:pPr>
    </w:p>
    <w:p w:rsidR="002E7E2F" w:rsidRPr="00561BD8" w:rsidRDefault="002E7E2F" w:rsidP="002E7E2F">
      <w:pPr>
        <w:pStyle w:val="ConsPlusTitle"/>
        <w:jc w:val="center"/>
        <w:rPr>
          <w:color w:val="FF0000"/>
        </w:rPr>
      </w:pPr>
      <w:r w:rsidRPr="00561BD8">
        <w:rPr>
          <w:color w:val="FF0000"/>
        </w:rPr>
        <w:t>УКАЗ ПРЕЗИДЕНТА РЕСПУБЛИКИ БЕЛАРУСЬ</w:t>
      </w:r>
    </w:p>
    <w:p w:rsidR="002E7E2F" w:rsidRPr="00561BD8" w:rsidRDefault="002E7E2F" w:rsidP="002E7E2F">
      <w:pPr>
        <w:pStyle w:val="ConsPlusTitle"/>
        <w:jc w:val="center"/>
        <w:rPr>
          <w:color w:val="FF0000"/>
        </w:rPr>
      </w:pPr>
      <w:r w:rsidRPr="00561BD8">
        <w:rPr>
          <w:color w:val="FF0000"/>
        </w:rPr>
        <w:t>30 сентября 1999 г. N 573</w:t>
      </w:r>
    </w:p>
    <w:p w:rsidR="002E7E2F" w:rsidRPr="00561BD8" w:rsidRDefault="002E7E2F" w:rsidP="002E7E2F">
      <w:pPr>
        <w:pStyle w:val="ConsPlusTitle"/>
        <w:jc w:val="center"/>
        <w:rPr>
          <w:color w:val="FF0000"/>
        </w:rPr>
      </w:pPr>
    </w:p>
    <w:p w:rsidR="002E7E2F" w:rsidRPr="00561BD8" w:rsidRDefault="002E7E2F" w:rsidP="002E7E2F">
      <w:pPr>
        <w:pStyle w:val="ConsPlusTitle"/>
        <w:jc w:val="center"/>
        <w:rPr>
          <w:color w:val="FF0000"/>
        </w:rPr>
      </w:pPr>
      <w:r w:rsidRPr="00561BD8">
        <w:rPr>
          <w:color w:val="FF0000"/>
        </w:rPr>
        <w:t>О РЕСПУБЛИКАНСКОЙ ДОСКЕ ПОЧЕТА</w:t>
      </w:r>
    </w:p>
    <w:p w:rsidR="002E7E2F" w:rsidRDefault="002E7E2F" w:rsidP="002E7E2F">
      <w:pPr>
        <w:spacing w:after="1"/>
      </w:pPr>
    </w:p>
    <w:tbl>
      <w:tblPr>
        <w:tblW w:w="963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2E7E2F" w:rsidTr="004A7326">
        <w:trPr>
          <w:jc w:val="center"/>
        </w:trPr>
        <w:tc>
          <w:tcPr>
            <w:tcW w:w="963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7E2F" w:rsidRDefault="002E7E2F" w:rsidP="001D33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13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E7E2F" w:rsidRDefault="002E7E2F" w:rsidP="001D33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14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15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16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:rsidR="002E7E2F" w:rsidRDefault="002E7E2F" w:rsidP="001D33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7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18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9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:rsidR="002E7E2F" w:rsidRDefault="002E7E2F" w:rsidP="001D33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20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21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22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2E7E2F" w:rsidRDefault="002E7E2F" w:rsidP="001D33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23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:rsidR="002E7E2F" w:rsidRDefault="002E7E2F" w:rsidP="002E7E2F">
      <w:pPr>
        <w:pStyle w:val="ConsPlusNormal"/>
        <w:jc w:val="both"/>
      </w:pPr>
      <w:r>
        <w:t xml:space="preserve">(преамбула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:rsidR="002E7E2F" w:rsidRDefault="002E7E2F" w:rsidP="002E7E2F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</w:t>
      </w:r>
      <w:proofErr w:type="gramStart"/>
      <w:r>
        <w:t>местных</w:t>
      </w:r>
      <w:proofErr w:type="gramEnd"/>
      <w:r>
        <w:t xml:space="preserve">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:rsidR="002E7E2F" w:rsidRDefault="002E7E2F" w:rsidP="002E7E2F">
      <w:pPr>
        <w:pStyle w:val="ConsPlusNormal"/>
        <w:jc w:val="both"/>
      </w:pPr>
      <w:r>
        <w:t xml:space="preserve">(п. 4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2E7E2F" w:rsidRDefault="002E7E2F" w:rsidP="002E7E2F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E7E2F" w:rsidTr="001D33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7E2F" w:rsidRDefault="002E7E2F" w:rsidP="001D33FB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7E2F" w:rsidRDefault="002E7E2F" w:rsidP="001D33FB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УТВЕРЖДЕНО</w:t>
      </w: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Указ Президента</w:t>
      </w: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30.09.1999 N 573</w:t>
      </w: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(в редакции Указа Президента</w:t>
      </w:r>
      <w:proofErr w:type="gramEnd"/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2E7E2F" w:rsidRDefault="002E7E2F" w:rsidP="002E7E2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12.02.2019 N 47)</w:t>
      </w:r>
      <w:proofErr w:type="gramEnd"/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Title"/>
        <w:jc w:val="center"/>
      </w:pPr>
      <w:bookmarkStart w:id="1" w:name="P40"/>
      <w:bookmarkEnd w:id="1"/>
      <w:r>
        <w:t>ПОЛОЖЕНИЕ</w:t>
      </w:r>
    </w:p>
    <w:p w:rsidR="002E7E2F" w:rsidRDefault="002E7E2F" w:rsidP="002E7E2F">
      <w:pPr>
        <w:pStyle w:val="ConsPlusTitle"/>
        <w:jc w:val="center"/>
      </w:pPr>
      <w:r>
        <w:t>О РЕСПУБЛИКАНСКОЙ ДОСКЕ ПОЧЕТА</w:t>
      </w:r>
    </w:p>
    <w:p w:rsidR="002E7E2F" w:rsidRDefault="002E7E2F" w:rsidP="002E7E2F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" w:name="P46"/>
      <w:bookmarkEnd w:id="2"/>
      <w:r>
        <w:t>&lt;*&gt; Для целей настоящего Положения под городами понимаются города областного подчинения.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3" w:name="P47"/>
      <w:bookmarkEnd w:id="3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4" w:name="P50"/>
      <w:bookmarkEnd w:id="4"/>
      <w:r>
        <w:t>3. Количество мест на Республиканской доске Почета - 68, в том числе: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по итогам работы за отчетный год </w:t>
      </w:r>
      <w:proofErr w:type="gramStart"/>
      <w:r>
        <w:t>для</w:t>
      </w:r>
      <w:proofErr w:type="gramEnd"/>
      <w:r>
        <w:t>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организаций промышленности - 9;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организаций лесного хозяйства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7" w:name="P59"/>
      <w:bookmarkEnd w:id="7"/>
      <w:r>
        <w:t>торговли - 4;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>предоставляющих</w:t>
      </w:r>
      <w:proofErr w:type="gramEnd"/>
      <w:r>
        <w:t xml:space="preserve"> услуги общественного питания,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8" w:name="P61"/>
      <w:bookmarkEnd w:id="8"/>
      <w:proofErr w:type="gramStart"/>
      <w:r>
        <w:t>предоставляющих</w:t>
      </w:r>
      <w:proofErr w:type="gramEnd"/>
      <w:r>
        <w:t xml:space="preserve"> прочие индивидуальные услуги,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9" w:name="P62"/>
      <w:bookmarkEnd w:id="9"/>
      <w:r>
        <w:t xml:space="preserve">осуществляющих почтовую деятельность и деятельность в области телекоммуникаций, и </w:t>
      </w:r>
      <w:r>
        <w:lastRenderedPageBreak/>
        <w:t>филиалов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0" w:name="P63"/>
      <w:bookmarkEnd w:id="10"/>
      <w:proofErr w:type="gramStart"/>
      <w:r>
        <w:t>осуществляющих</w:t>
      </w:r>
      <w:proofErr w:type="gramEnd"/>
      <w:r>
        <w:t xml:space="preserve"> издательскую деятельность, - 1;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>осуществляющих</w:t>
      </w:r>
      <w:proofErr w:type="gramEnd"/>
      <w:r>
        <w:t xml:space="preserve"> транспортную деятельность, - 3;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образования - 4;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культуры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здравоохранения - 3;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1" w:name="P70"/>
      <w:bookmarkEnd w:id="11"/>
      <w:proofErr w:type="gramStart"/>
      <w:r>
        <w:t>осуществляющих</w:t>
      </w:r>
      <w:proofErr w:type="gramEnd"/>
      <w:r>
        <w:t xml:space="preserve"> туристическую деятельность, - 1;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2" w:name="P71"/>
      <w:bookmarkEnd w:id="12"/>
      <w:r>
        <w:t>научных организаций - 4.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3" w:name="P72"/>
      <w:bookmarkEnd w:id="13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  <w:proofErr w:type="gramEnd"/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4" w:name="P78"/>
      <w:bookmarkEnd w:id="14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:rsidR="002E7E2F" w:rsidRDefault="002E7E2F" w:rsidP="002E7E2F">
      <w:pPr>
        <w:pStyle w:val="ConsPlusNormal"/>
      </w:pPr>
    </w:p>
    <w:p w:rsidR="002E7E2F" w:rsidRDefault="002E7E2F" w:rsidP="002E7E2F">
      <w:pPr>
        <w:pStyle w:val="ConsPlusNormal"/>
        <w:ind w:firstLine="540"/>
        <w:jc w:val="both"/>
      </w:pPr>
      <w:bookmarkStart w:id="15" w:name="P80"/>
      <w:bookmarkEnd w:id="15"/>
      <w:r>
        <w:t>5. Участниками конкурсного отбора могут быть: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lastRenderedPageBreak/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которые находятся в процессе реорганизации либо в отношении </w:t>
      </w:r>
      <w:proofErr w:type="gramStart"/>
      <w:r>
        <w:t>которых</w:t>
      </w:r>
      <w:proofErr w:type="gramEnd"/>
      <w:r>
        <w:t xml:space="preserve"> возбуждено производство по делу об экономической несостоятельности (банкротстве);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со дня государственной </w:t>
      </w:r>
      <w:proofErr w:type="gramStart"/>
      <w:r>
        <w:t>регистрации</w:t>
      </w:r>
      <w:proofErr w:type="gramEnd"/>
      <w:r>
        <w:t xml:space="preserve">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</w:t>
      </w:r>
      <w:proofErr w:type="gramStart"/>
      <w:r>
        <w:t>р-</w:t>
      </w:r>
      <w:proofErr w:type="gramEnd"/>
      <w:r>
        <w:t xml:space="preserve"> и райисполкомы, администрации районов г. Минска по месту их государственной регистрации;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</w:t>
      </w:r>
      <w:proofErr w:type="gramStart"/>
      <w:r>
        <w:t>отчетным</w:t>
      </w:r>
      <w:proofErr w:type="gramEnd"/>
      <w:r>
        <w:t>, в Министерство связи и информатизации;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</w:t>
      </w:r>
      <w:proofErr w:type="gramStart"/>
      <w:r>
        <w:t>отчетным</w:t>
      </w:r>
      <w:proofErr w:type="gramEnd"/>
      <w:r>
        <w:t>, в Национальную академию наук Беларуси.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</w:t>
      </w:r>
      <w:proofErr w:type="gramEnd"/>
      <w:r>
        <w:t xml:space="preserve"> частности </w:t>
      </w:r>
      <w:proofErr w:type="gramStart"/>
      <w:r>
        <w:t>среди</w:t>
      </w:r>
      <w:proofErr w:type="gramEnd"/>
      <w:r>
        <w:t>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областей и г. Минска, районов, городов и районов в городах, организаций промышленности - Министерством экономики;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lastRenderedPageBreak/>
        <w:t>организаций, осуществляющих деятельность в строительстве, - Министерством архитектуры и строительства;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торговли и организаций, предоставляющих услуги общественного питания, - 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7" w:name="P101"/>
      <w:bookmarkEnd w:id="17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t>организаций, осуществляющих издательскую деятельность, - Министерством информации;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lastRenderedPageBreak/>
        <w:t>12. Обязательными условиями для занесения на Республиканскую доску Почета по итогам работы за отчетный год являются: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 xml:space="preserve"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местных исполнительных и распорядительных органов, а также фактов нахождения таких лиц, привлекаемых к</w:t>
      </w:r>
      <w:proofErr w:type="gramEnd"/>
      <w:r>
        <w:t xml:space="preserve"> уголовной ответственности за коррупционные преступления, в занимаемой должности в этот период;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1" w:name="P120"/>
      <w:bookmarkEnd w:id="21"/>
      <w:r>
        <w:t>12.2. для организаций и филиалов: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  <w:proofErr w:type="gramEnd"/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spellStart"/>
      <w:r>
        <w:t>непредоставление</w:t>
      </w:r>
      <w:proofErr w:type="spellEnd"/>
      <w:r>
        <w:t xml:space="preserve"> этим организациям в течение отчетного года: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28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>отсрочки и (или) рассрочки уплаты налогов, сборов (пошлин), пеней, налогового кредита;</w:t>
      </w:r>
      <w:proofErr w:type="gramEnd"/>
    </w:p>
    <w:p w:rsidR="002E7E2F" w:rsidRDefault="002E7E2F" w:rsidP="002E7E2F">
      <w:pPr>
        <w:pStyle w:val="ConsPlusNormal"/>
        <w:spacing w:before="220"/>
        <w:ind w:firstLine="540"/>
        <w:jc w:val="both"/>
      </w:pPr>
      <w:proofErr w:type="gramStart"/>
      <w:r>
        <w:t xml:space="preserve">иной государственной поддержки, решение о предоставлении которой принято до вступления в силу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  <w:proofErr w:type="gramEnd"/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2" w:name="P129"/>
      <w:bookmarkEnd w:id="22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13. Министерство финансов до 1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в Министерство экономики сведения об организациях, получивших в отчетном году государственную поддержку.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lastRenderedPageBreak/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16. Облисполкомы и Минский горисполком до 1 марта года, следующего за </w:t>
      </w:r>
      <w:proofErr w:type="gramStart"/>
      <w:r>
        <w:t>отчетным</w:t>
      </w:r>
      <w:proofErr w:type="gramEnd"/>
      <w:r>
        <w:t>, обеспечивают: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3" w:name="P137"/>
      <w:bookmarkEnd w:id="23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направление </w:t>
      </w:r>
      <w:proofErr w:type="gramStart"/>
      <w:r>
        <w:t>ответственным</w:t>
      </w:r>
      <w:proofErr w:type="gramEnd"/>
      <w:r>
        <w:t xml:space="preserve">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 xml:space="preserve"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</w:t>
      </w:r>
      <w:proofErr w:type="gramStart"/>
      <w:r>
        <w:t>за</w:t>
      </w:r>
      <w:proofErr w:type="gramEnd"/>
      <w:r>
        <w:t xml:space="preserve"> отчетным, обеспечивают: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7" w:name="P143"/>
      <w:bookmarkEnd w:id="27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</w:t>
      </w:r>
      <w:r>
        <w:lastRenderedPageBreak/>
        <w:t>стандартизации;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информатизации, Национальной академией наук Беларуси.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8" w:name="P148"/>
      <w:bookmarkEnd w:id="28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</w:t>
      </w:r>
      <w:proofErr w:type="gramStart"/>
      <w:r>
        <w:t>за</w:t>
      </w:r>
      <w:proofErr w:type="gramEnd"/>
      <w:r>
        <w:t xml:space="preserve"> отчетным, обеспечивают: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</w:t>
      </w:r>
      <w:r>
        <w:lastRenderedPageBreak/>
        <w:t xml:space="preserve">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</w:t>
      </w:r>
      <w:proofErr w:type="gramEnd"/>
      <w:r>
        <w:t xml:space="preserve"> период.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:rsidR="002E7E2F" w:rsidRDefault="002E7E2F" w:rsidP="002E7E2F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p w:rsidR="00F33E0B" w:rsidRDefault="00F33E0B"/>
    <w:sectPr w:rsidR="00F33E0B" w:rsidSect="002E7E2F">
      <w:headerReference w:type="default" r:id="rId3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76" w:rsidRDefault="00561BD8">
      <w:pPr>
        <w:spacing w:after="0" w:line="240" w:lineRule="auto"/>
      </w:pPr>
      <w:r>
        <w:separator/>
      </w:r>
    </w:p>
  </w:endnote>
  <w:endnote w:type="continuationSeparator" w:id="0">
    <w:p w:rsidR="00353076" w:rsidRDefault="0056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76" w:rsidRDefault="00561BD8">
      <w:pPr>
        <w:spacing w:after="0" w:line="240" w:lineRule="auto"/>
      </w:pPr>
      <w:r>
        <w:separator/>
      </w:r>
    </w:p>
  </w:footnote>
  <w:footnote w:type="continuationSeparator" w:id="0">
    <w:p w:rsidR="00353076" w:rsidRDefault="0056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7829" w:rsidRPr="00EA7829" w:rsidRDefault="004A732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FC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A7829" w:rsidRDefault="00F60F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2F"/>
    <w:rsid w:val="002E7E2F"/>
    <w:rsid w:val="00353076"/>
    <w:rsid w:val="004A7326"/>
    <w:rsid w:val="00561BD8"/>
    <w:rsid w:val="005D67D0"/>
    <w:rsid w:val="00857B4E"/>
    <w:rsid w:val="00A27AB7"/>
    <w:rsid w:val="00D236E8"/>
    <w:rsid w:val="00D46704"/>
    <w:rsid w:val="00D743A5"/>
    <w:rsid w:val="00F0135D"/>
    <w:rsid w:val="00F33E0B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E2F"/>
    <w:rPr>
      <w:color w:val="0000FF" w:themeColor="hyperlink"/>
      <w:u w:val="single"/>
    </w:rPr>
  </w:style>
  <w:style w:type="paragraph" w:customStyle="1" w:styleId="ConsPlusNormal">
    <w:name w:val="ConsPlusNormal"/>
    <w:rsid w:val="002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E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E2F"/>
  </w:style>
  <w:style w:type="paragraph" w:customStyle="1" w:styleId="ConsPlusNonformat">
    <w:name w:val="ConsPlusNonformat"/>
    <w:rsid w:val="002E7E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A27AB7"/>
    <w:pPr>
      <w:ind w:left="720"/>
      <w:contextualSpacing/>
    </w:pPr>
  </w:style>
  <w:style w:type="table" w:styleId="a7">
    <w:name w:val="Table Grid"/>
    <w:basedOn w:val="a1"/>
    <w:uiPriority w:val="39"/>
    <w:rsid w:val="004A73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7B4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B4E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E2F"/>
    <w:rPr>
      <w:color w:val="0000FF" w:themeColor="hyperlink"/>
      <w:u w:val="single"/>
    </w:rPr>
  </w:style>
  <w:style w:type="paragraph" w:customStyle="1" w:styleId="ConsPlusNormal">
    <w:name w:val="ConsPlusNormal"/>
    <w:rsid w:val="002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E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E2F"/>
  </w:style>
  <w:style w:type="paragraph" w:customStyle="1" w:styleId="ConsPlusNonformat">
    <w:name w:val="ConsPlusNonformat"/>
    <w:rsid w:val="002E7E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A27AB7"/>
    <w:pPr>
      <w:ind w:left="720"/>
      <w:contextualSpacing/>
    </w:pPr>
  </w:style>
  <w:style w:type="table" w:styleId="a7">
    <w:name w:val="Table Grid"/>
    <w:basedOn w:val="a1"/>
    <w:uiPriority w:val="39"/>
    <w:rsid w:val="004A73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7B4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B4E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d.minsk-city@belstat.gov.by" TargetMode="External"/><Relationship Id="rId13" Type="http://schemas.openxmlformats.org/officeDocument/2006/relationships/hyperlink" Target="consultantplus://offline/ref=59D61860056CE438DDFF4CB38542D7616A607304D3108E7481AD70E985DDCE043E03A87ADD2813D0B6BE76ECQ5M6O" TargetMode="External"/><Relationship Id="rId18" Type="http://schemas.openxmlformats.org/officeDocument/2006/relationships/hyperlink" Target="consultantplus://offline/ref=59D61860056CE438DDFF4CB38542D7616A607304D3148D7883AA72B48FD597083C04A725CA2F5ADCB7BE76EC52Q7M1O" TargetMode="External"/><Relationship Id="rId26" Type="http://schemas.openxmlformats.org/officeDocument/2006/relationships/hyperlink" Target="consultantplus://offline/ref=59D61860056CE438DDFF4CB38542D7616A607304D314897087AB7BB48FD597083C04A725CA2F5ADCB7BE76EC52Q7M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D61860056CE438DDFF4CB38542D7616A607304D314897087AB7BB48FD597083C04A725CA2F5ADCB7BE76EC52Q7M6O" TargetMode="External"/><Relationship Id="rId7" Type="http://schemas.openxmlformats.org/officeDocument/2006/relationships/hyperlink" Target="mailto:part.econ@minsk.gov.by" TargetMode="External"/><Relationship Id="rId12" Type="http://schemas.openxmlformats.org/officeDocument/2006/relationships/hyperlink" Target="consultantplus://offline/ref=D6CF596334915F845CACA2AA2A009A5187E57389851AEE77B4E8F67F0D812C00E1ECL5P7M" TargetMode="External"/><Relationship Id="rId17" Type="http://schemas.openxmlformats.org/officeDocument/2006/relationships/hyperlink" Target="consultantplus://offline/ref=59D61860056CE438DDFF4CB38542D7616A607304D31D88718FA970E985DDCE043E03A87ADD2813D0B6BE76ECQ5M7O" TargetMode="External"/><Relationship Id="rId25" Type="http://schemas.openxmlformats.org/officeDocument/2006/relationships/hyperlink" Target="consultantplus://offline/ref=59D61860056CE438DDFF4CB38542D7616A607304D314897087AB7BB48FD597083C04A725CA2F5ADCB7BE76EC52Q7M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D61860056CE438DDFF4CB38542D7616A607304D31D8F7584A170E985DDCE043E03A87ADD2813D0B6BE76EFQ5MBO" TargetMode="External"/><Relationship Id="rId20" Type="http://schemas.openxmlformats.org/officeDocument/2006/relationships/hyperlink" Target="consultantplus://offline/ref=59D61860056CE438DDFF4CB38542D7616A607304D31488768FA878B48FD597083C04A725CA2F5ADCB7BE76ED52Q7M7O" TargetMode="External"/><Relationship Id="rId29" Type="http://schemas.openxmlformats.org/officeDocument/2006/relationships/hyperlink" Target="consultantplus://offline/ref=59D61860056CE438DDFF4CB38542D7616A607304D314847181A87FB48FD597083C04QAM7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CF596334915F845CACA2AA2A009A5187E57389851AEE77B4E8F67F0D812C00E1EC5766EEF282EFC6AF7938A4L3P8M" TargetMode="External"/><Relationship Id="rId24" Type="http://schemas.openxmlformats.org/officeDocument/2006/relationships/hyperlink" Target="consultantplus://offline/ref=59D61860056CE438DDFF4CB38542D7616A607304D314847084AC7AB48FD597083C04A725CA2F5ADCB7BE76EC52Q7M1O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D61860056CE438DDFF4CB38542D7616A607304D3138E7487AA70E985DDCE043E03A87ADD2813D0B6BE76ECQ5M7O" TargetMode="External"/><Relationship Id="rId23" Type="http://schemas.openxmlformats.org/officeDocument/2006/relationships/hyperlink" Target="consultantplus://offline/ref=59D61860056CE438DDFF4CB38542D7616A607304D314847084AC7AB48FD597083C04A725CA2F5ADCB7BE76EC52Q7M6O" TargetMode="External"/><Relationship Id="rId28" Type="http://schemas.openxmlformats.org/officeDocument/2006/relationships/hyperlink" Target="consultantplus://offline/ref=59D61860056CE438DDFF4CB38542D7616A607304D314847181A87FB48FD597083C04A725CA2F5ADCB7BE76EC53Q7MCO" TargetMode="External"/><Relationship Id="rId10" Type="http://schemas.openxmlformats.org/officeDocument/2006/relationships/hyperlink" Target="consultantplus://offline/ref=8786E5018629C9D3CC73499C8C5CE3D88688FC60BF46EBB816FB6815DE0A384C3688D9583C72B1D112C198AEB8KF44H" TargetMode="External"/><Relationship Id="rId19" Type="http://schemas.openxmlformats.org/officeDocument/2006/relationships/hyperlink" Target="consultantplus://offline/ref=59D61860056CE438DDFF4CB38542D7616A607304D3148F7985A97CB48FD597083C04A725CA2F5ADCB7BE76EC52Q7M6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86E5018629C9D3CC73499C8C5CE3D88688FC60BF46EBB816FB6815DE0A384C3688D9583C72B1D112C198AEB8KF45H" TargetMode="External"/><Relationship Id="rId14" Type="http://schemas.openxmlformats.org/officeDocument/2006/relationships/hyperlink" Target="consultantplus://offline/ref=59D61860056CE438DDFF4CB38542D7616A607304D3108B7484AD70E985DDCE043E03A87ADD2813D0B6BE76ECQ5M7O" TargetMode="External"/><Relationship Id="rId22" Type="http://schemas.openxmlformats.org/officeDocument/2006/relationships/hyperlink" Target="consultantplus://offline/ref=59D61860056CE438DDFF4CB38542D7616A607304D314897281AB7CB48FD597083C04A725CA2F5ADCB7BE76EC53Q7M0O" TargetMode="External"/><Relationship Id="rId27" Type="http://schemas.openxmlformats.org/officeDocument/2006/relationships/hyperlink" Target="consultantplus://offline/ref=59D61860056CE438DDFF4CB38542D7616A607304D314847084AC7AB48FD597083C04A725CA2F5ADCB7BE76EC52Q7M3O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5986</Words>
  <Characters>34124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Груздь</dc:creator>
  <cp:lastModifiedBy>Елена Груздь</cp:lastModifiedBy>
  <cp:revision>3</cp:revision>
  <cp:lastPrinted>2023-01-12T14:12:00Z</cp:lastPrinted>
  <dcterms:created xsi:type="dcterms:W3CDTF">2025-01-13T14:14:00Z</dcterms:created>
  <dcterms:modified xsi:type="dcterms:W3CDTF">2025-01-13T14:15:00Z</dcterms:modified>
</cp:coreProperties>
</file>